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DA21C7">
        <w:rPr>
          <w:b/>
          <w:smallCaps/>
          <w:color w:val="000000"/>
          <w:sz w:val="20"/>
          <w:lang w:val="ru-RU"/>
        </w:rPr>
        <w:t xml:space="preserve">3258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DA21C7">
        <w:rPr>
          <w:b/>
          <w:smallCaps/>
          <w:color w:val="000000"/>
          <w:sz w:val="20"/>
          <w:lang w:val="ru-RU"/>
        </w:rPr>
        <w:t xml:space="preserve">3258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DA21C7">
        <w:rPr>
          <w:b/>
          <w:smallCaps/>
          <w:color w:val="000000"/>
          <w:sz w:val="20"/>
          <w:lang w:val="ru-RU"/>
        </w:rPr>
        <w:t>30.09.2016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DA21C7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7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DA21C7">
        <w:rPr>
          <w:color w:val="000000"/>
          <w:sz w:val="16"/>
          <w:lang w:val="ru-RU"/>
        </w:rPr>
        <w:t>30.09.2016 17.00.00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DA21C7">
        <w:rPr>
          <w:color w:val="000000"/>
          <w:sz w:val="16"/>
          <w:lang w:val="ru-RU"/>
        </w:rPr>
        <w:t>05.10.2016 17.00.00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3700"/>
        <w:gridCol w:w="1001"/>
        <w:gridCol w:w="1683"/>
      </w:tblGrid>
      <w:tr w:rsidR="009F3F4A" w:rsidRPr="00A64645" w:rsidTr="00A64645">
        <w:trPr>
          <w:trHeight w:val="628"/>
        </w:trPr>
        <w:tc>
          <w:tcPr>
            <w:tcW w:w="325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A64645">
        <w:trPr>
          <w:trHeight w:val="78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A21C7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Марганец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сернокислый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(1 </w:t>
            </w:r>
            <w:proofErr w:type="spellStart"/>
            <w:r>
              <w:rPr>
                <w:color w:val="000000"/>
                <w:sz w:val="16"/>
                <w:szCs w:val="18"/>
              </w:rPr>
              <w:t>водный</w:t>
            </w:r>
            <w:proofErr w:type="spellEnd"/>
            <w:r>
              <w:rPr>
                <w:color w:val="000000"/>
                <w:sz w:val="16"/>
                <w:szCs w:val="18"/>
              </w:rPr>
              <w:t>)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A21C7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A21C7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A21C7" w:rsidP="00DA21C7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428 000.00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A64645" w:rsidTr="00A64645">
        <w:trPr>
          <w:trHeight w:val="26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21C7" w:rsidRPr="00A64645" w:rsidRDefault="00DA21C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64645">
              <w:rPr>
                <w:color w:val="000000"/>
                <w:sz w:val="16"/>
                <w:szCs w:val="18"/>
                <w:lang w:val="ru-RU"/>
              </w:rPr>
              <w:t>10.00 тонн.</w:t>
            </w:r>
          </w:p>
          <w:p w:rsidR="00DA21C7" w:rsidRPr="00A64645" w:rsidRDefault="00DA21C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64645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DA21C7" w:rsidRPr="00A64645" w:rsidRDefault="00DA21C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64645">
              <w:rPr>
                <w:color w:val="000000"/>
                <w:sz w:val="16"/>
                <w:szCs w:val="18"/>
                <w:lang w:val="ru-RU"/>
              </w:rPr>
              <w:t>Упаковка: полипропиленовый не ламинированный мешок. Вес нетто: 25 килограмм.</w:t>
            </w:r>
          </w:p>
          <w:p w:rsidR="00DA21C7" w:rsidRPr="00A64645" w:rsidRDefault="00DA21C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64645">
              <w:rPr>
                <w:color w:val="000000"/>
                <w:sz w:val="16"/>
                <w:szCs w:val="18"/>
                <w:lang w:val="ru-RU"/>
              </w:rPr>
              <w:t xml:space="preserve">Качество: </w:t>
            </w:r>
          </w:p>
          <w:tbl>
            <w:tblPr>
              <w:tblW w:w="65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79"/>
              <w:gridCol w:w="386"/>
              <w:gridCol w:w="419"/>
              <w:gridCol w:w="665"/>
              <w:gridCol w:w="1103"/>
              <w:gridCol w:w="651"/>
              <w:gridCol w:w="725"/>
              <w:gridCol w:w="725"/>
              <w:gridCol w:w="303"/>
            </w:tblGrid>
            <w:tr w:rsidR="00A64645" w:rsidRPr="001A4E14" w:rsidTr="00E559ED">
              <w:trPr>
                <w:trHeight w:hRule="exact" w:val="184"/>
              </w:trPr>
              <w:tc>
                <w:tcPr>
                  <w:tcW w:w="6253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Описательные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параметры</w:t>
                  </w:r>
                  <w:proofErr w:type="spellEnd"/>
                </w:p>
              </w:tc>
              <w:tc>
                <w:tcPr>
                  <w:tcW w:w="30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</w:tr>
            <w:tr w:rsidR="00A64645" w:rsidRPr="001A4E14" w:rsidTr="00E559ED">
              <w:trPr>
                <w:trHeight w:hRule="exact" w:val="344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Наименование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параметра</w:t>
                  </w:r>
                  <w:proofErr w:type="spellEnd"/>
                </w:p>
              </w:tc>
              <w:tc>
                <w:tcPr>
                  <w:tcW w:w="147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значение</w:t>
                  </w:r>
                  <w:proofErr w:type="spellEnd"/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Наименование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параметра</w:t>
                  </w:r>
                  <w:proofErr w:type="spellEnd"/>
                </w:p>
              </w:tc>
              <w:tc>
                <w:tcPr>
                  <w:tcW w:w="210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значение</w:t>
                  </w:r>
                  <w:proofErr w:type="spellEnd"/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</w:tr>
            <w:tr w:rsidR="00A64645" w:rsidRPr="001A4E14" w:rsidTr="00E559ED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Внешний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вид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состояние</w:t>
                  </w:r>
                  <w:proofErr w:type="spellEnd"/>
                </w:p>
              </w:tc>
              <w:tc>
                <w:tcPr>
                  <w:tcW w:w="147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Кристаллической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порошок</w:t>
                  </w:r>
                  <w:proofErr w:type="spellEnd"/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Цвет</w:t>
                  </w:r>
                  <w:proofErr w:type="spellEnd"/>
                </w:p>
              </w:tc>
              <w:tc>
                <w:tcPr>
                  <w:tcW w:w="210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Светло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розовый</w:t>
                  </w:r>
                  <w:proofErr w:type="spellEnd"/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sz w:val="14"/>
                      <w:szCs w:val="14"/>
                    </w:rPr>
                  </w:pPr>
                </w:p>
              </w:tc>
            </w:tr>
            <w:tr w:rsidR="00A64645" w:rsidRPr="001A4E14" w:rsidTr="00E559ED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маркировка</w:t>
                  </w:r>
                  <w:proofErr w:type="spellEnd"/>
                </w:p>
              </w:tc>
              <w:tc>
                <w:tcPr>
                  <w:tcW w:w="147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этикетка</w:t>
                  </w:r>
                  <w:proofErr w:type="spellEnd"/>
                </w:p>
              </w:tc>
              <w:tc>
                <w:tcPr>
                  <w:tcW w:w="32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sz w:val="14"/>
                      <w:szCs w:val="14"/>
                    </w:rPr>
                  </w:pPr>
                </w:p>
              </w:tc>
            </w:tr>
            <w:tr w:rsidR="00A64645" w:rsidRPr="001A4E14" w:rsidTr="00E559ED">
              <w:trPr>
                <w:trHeight w:hRule="exact" w:val="274"/>
              </w:trPr>
              <w:tc>
                <w:tcPr>
                  <w:tcW w:w="6253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Числовые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параметры</w:t>
                  </w:r>
                  <w:proofErr w:type="spellEnd"/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</w:tr>
            <w:tr w:rsidR="00A64645" w:rsidRPr="001A4E14" w:rsidTr="00E559ED">
              <w:trPr>
                <w:trHeight w:hRule="exact" w:val="4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Наименование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параметра</w:t>
                  </w:r>
                  <w:proofErr w:type="spellEnd"/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типовое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мин</w:t>
                  </w:r>
                  <w:proofErr w:type="spellEnd"/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макс</w:t>
                  </w:r>
                  <w:proofErr w:type="spellEnd"/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Наименование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параметра</w:t>
                  </w:r>
                  <w:proofErr w:type="spellEnd"/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типовое</w:t>
                  </w:r>
                  <w:proofErr w:type="spellEnd"/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мин</w:t>
                  </w:r>
                  <w:proofErr w:type="spellEnd"/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макс</w:t>
                  </w:r>
                  <w:proofErr w:type="spellEnd"/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18"/>
                      <w:szCs w:val="18"/>
                    </w:rPr>
                  </w:pPr>
                </w:p>
              </w:tc>
            </w:tr>
            <w:tr w:rsidR="00A64645" w:rsidRPr="001A4E14" w:rsidTr="00E559ED">
              <w:trPr>
                <w:trHeight w:hRule="exact" w:val="432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A64645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A64645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Влага и </w:t>
                  </w:r>
                  <w:proofErr w:type="spellStart"/>
                  <w:r w:rsidRPr="00A64645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лет.в-</w:t>
                  </w:r>
                  <w:proofErr w:type="gramStart"/>
                  <w:r w:rsidRPr="00A64645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ва</w:t>
                  </w:r>
                  <w:proofErr w:type="spellEnd"/>
                  <w:r w:rsidRPr="00A64645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  ,</w:t>
                  </w:r>
                  <w:proofErr w:type="gramEnd"/>
                  <w:r w:rsidRPr="00A64645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 %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A64645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0.50</w:t>
                  </w: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A64645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proofErr w:type="gramStart"/>
                  <w:r w:rsidRPr="00A64645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Сод-е</w:t>
                  </w:r>
                  <w:proofErr w:type="gramEnd"/>
                  <w:r w:rsidRPr="00A64645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 основного в-</w:t>
                  </w:r>
                  <w:proofErr w:type="spellStart"/>
                  <w:r w:rsidRPr="00A64645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ва</w:t>
                  </w:r>
                  <w:proofErr w:type="spellEnd"/>
                </w:p>
                <w:p w:rsidR="00A64645" w:rsidRPr="00A64645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A64645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(марганец сернокислый), г/т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A64645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980000.00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992000.00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14"/>
                      <w:szCs w:val="14"/>
                    </w:rPr>
                  </w:pPr>
                </w:p>
              </w:tc>
            </w:tr>
            <w:tr w:rsidR="00A64645" w:rsidRPr="001A4E14" w:rsidTr="00E559ED">
              <w:trPr>
                <w:trHeight w:hRule="exact" w:val="654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A64645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proofErr w:type="gramStart"/>
                  <w:r w:rsidRPr="00A64645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Сод-е</w:t>
                  </w:r>
                  <w:proofErr w:type="gramEnd"/>
                  <w:r w:rsidRPr="00A64645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 основного в-</w:t>
                  </w:r>
                  <w:proofErr w:type="spellStart"/>
                  <w:r w:rsidRPr="00A64645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ва</w:t>
                  </w:r>
                  <w:proofErr w:type="spellEnd"/>
                  <w:r w:rsidRPr="00A64645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 </w:t>
                  </w:r>
                </w:p>
                <w:p w:rsidR="00A64645" w:rsidRPr="00A64645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  <w:r w:rsidRPr="00A64645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(марганец сернокислый</w:t>
                  </w:r>
                  <w:proofErr w:type="gramStart"/>
                  <w:r w:rsidRPr="00A64645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>) ,</w:t>
                  </w:r>
                  <w:proofErr w:type="gramEnd"/>
                  <w:r w:rsidRPr="00A64645"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  <w:t xml:space="preserve"> %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A64645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98.00</w:t>
                  </w: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99.20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Кальций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,       %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14"/>
                      <w:szCs w:val="14"/>
                    </w:rPr>
                  </w:pPr>
                </w:p>
              </w:tc>
            </w:tr>
            <w:tr w:rsidR="00A64645" w:rsidRPr="001A4E14" w:rsidTr="00E559ED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Натрий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,        %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Марганец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,  г/т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318200.00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364000.00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14"/>
                      <w:szCs w:val="14"/>
                    </w:rPr>
                  </w:pPr>
                </w:p>
              </w:tc>
            </w:tr>
            <w:tr w:rsidR="00A64645" w:rsidRPr="001A4E14" w:rsidTr="00E559ED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Цинк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,      г/т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Железо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,    г/т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14"/>
                      <w:szCs w:val="14"/>
                    </w:rPr>
                  </w:pPr>
                </w:p>
              </w:tc>
            </w:tr>
            <w:tr w:rsidR="00A64645" w:rsidRPr="001A4E14" w:rsidTr="00E559ED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Магний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,    г/т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1000.00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Сера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,      г/т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185562.00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188876,00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14"/>
                      <w:szCs w:val="14"/>
                    </w:rPr>
                  </w:pPr>
                </w:p>
              </w:tc>
            </w:tr>
            <w:tr w:rsidR="00A64645" w:rsidRPr="001A4E14" w:rsidTr="00E559ED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Свинец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 xml:space="preserve"> ,г/т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10.00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Мышьяк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, г/т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5.00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14"/>
                      <w:szCs w:val="14"/>
                    </w:rPr>
                  </w:pPr>
                </w:p>
              </w:tc>
            </w:tr>
            <w:tr w:rsidR="00A64645" w:rsidRPr="001A4E14" w:rsidTr="00E559ED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Кадмий</w:t>
                  </w:r>
                  <w:proofErr w:type="spellEnd"/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, г/т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eastAsiaTheme="minorEastAsia"/>
                      <w:color w:val="000000"/>
                      <w:sz w:val="16"/>
                      <w:szCs w:val="16"/>
                    </w:rPr>
                    <w:t>5.00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645" w:rsidRPr="001A4E14" w:rsidRDefault="00A64645" w:rsidP="00A646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EastAsia"/>
                      <w:sz w:val="14"/>
                      <w:szCs w:val="14"/>
                    </w:rPr>
                  </w:pPr>
                </w:p>
              </w:tc>
            </w:tr>
          </w:tbl>
          <w:p w:rsidR="00DA21C7" w:rsidRPr="00A64645" w:rsidRDefault="00DA21C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64645">
              <w:rPr>
                <w:color w:val="000000"/>
                <w:sz w:val="16"/>
                <w:szCs w:val="18"/>
                <w:lang w:val="ru-RU"/>
              </w:rPr>
              <w:tab/>
            </w:r>
            <w:r w:rsidRPr="00A64645">
              <w:rPr>
                <w:color w:val="000000"/>
                <w:sz w:val="16"/>
                <w:szCs w:val="18"/>
                <w:lang w:val="ru-RU"/>
              </w:rPr>
              <w:tab/>
            </w:r>
            <w:r w:rsidRPr="00A64645">
              <w:rPr>
                <w:color w:val="000000"/>
                <w:sz w:val="16"/>
                <w:szCs w:val="18"/>
                <w:lang w:val="ru-RU"/>
              </w:rPr>
              <w:tab/>
            </w:r>
            <w:r w:rsidRPr="00A64645">
              <w:rPr>
                <w:color w:val="000000"/>
                <w:sz w:val="16"/>
                <w:szCs w:val="18"/>
                <w:lang w:val="ru-RU"/>
              </w:rPr>
              <w:tab/>
            </w:r>
          </w:p>
          <w:p w:rsidR="00DA21C7" w:rsidRPr="00A64645" w:rsidRDefault="00DA21C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64645">
              <w:rPr>
                <w:color w:val="000000"/>
                <w:sz w:val="16"/>
                <w:szCs w:val="18"/>
                <w:lang w:val="ru-RU"/>
              </w:rPr>
              <w:t>По остальным показателям товар должен соответствовать требованиям ГОСТ 435-77.</w:t>
            </w:r>
          </w:p>
          <w:p w:rsidR="00DA21C7" w:rsidRPr="00A64645" w:rsidRDefault="00DA21C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64645">
              <w:rPr>
                <w:color w:val="000000"/>
                <w:sz w:val="16"/>
                <w:szCs w:val="18"/>
                <w:lang w:val="ru-RU"/>
              </w:rPr>
              <w:t>Правила приемки и метод отбора проб проводится в соответствии с ГОСТ ИСО-6497-2011.</w:t>
            </w:r>
          </w:p>
          <w:p w:rsidR="00DA21C7" w:rsidRDefault="00DA21C7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r w:rsidRPr="00A64645">
              <w:rPr>
                <w:color w:val="000000"/>
                <w:sz w:val="16"/>
                <w:szCs w:val="18"/>
                <w:lang w:val="ru-RU"/>
              </w:rPr>
              <w:t xml:space="preserve">Условия хранения: препарат хранят в упаковке изготовителя в крытых складских помещениях, при </w:t>
            </w:r>
            <w:r>
              <w:rPr>
                <w:color w:val="000000"/>
                <w:sz w:val="16"/>
                <w:szCs w:val="18"/>
              </w:rPr>
              <w:t>t</w:t>
            </w:r>
            <w:r w:rsidRPr="00A64645">
              <w:rPr>
                <w:color w:val="000000"/>
                <w:sz w:val="16"/>
                <w:szCs w:val="18"/>
                <w:lang w:val="ru-RU"/>
              </w:rPr>
              <w:t xml:space="preserve"> не выше 30С. </w:t>
            </w:r>
            <w:proofErr w:type="spellStart"/>
            <w:r>
              <w:rPr>
                <w:color w:val="000000"/>
                <w:sz w:val="16"/>
                <w:szCs w:val="18"/>
              </w:rPr>
              <w:t>Срок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хранения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не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ограничен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  <w:p w:rsidR="00DA21C7" w:rsidRPr="00A64645" w:rsidRDefault="00DA21C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64645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691B5B" w:rsidRPr="00A64645" w:rsidRDefault="00DA21C7" w:rsidP="00A64645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64645">
              <w:rPr>
                <w:color w:val="000000"/>
                <w:sz w:val="16"/>
                <w:szCs w:val="18"/>
                <w:lang w:val="ru-RU"/>
              </w:rPr>
              <w:t>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A64645">
        <w:trPr>
          <w:trHeight w:val="26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DA21C7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15.10.2016г.</w:t>
            </w:r>
          </w:p>
        </w:tc>
      </w:tr>
      <w:tr w:rsidR="00A75AD1" w:rsidRPr="006F008D" w:rsidTr="00A64645">
        <w:trPr>
          <w:trHeight w:val="29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21C7" w:rsidRPr="00A64645" w:rsidRDefault="00DA21C7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64645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DA21C7" w:rsidP="00A6464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A64645" w:rsidRPr="001A6956">
          <w:rPr>
            <w:rStyle w:val="a4"/>
            <w:sz w:val="16"/>
            <w:lang w:val="ru-RU"/>
          </w:rPr>
          <w:t>www.zakupki.gov.ru</w:t>
        </w:r>
      </w:hyperlink>
      <w:r w:rsidR="00A64645">
        <w:rPr>
          <w:color w:val="000000"/>
          <w:sz w:val="16"/>
          <w:lang w:val="ru-RU"/>
        </w:rPr>
        <w:t xml:space="preserve">, </w:t>
      </w:r>
      <w:hyperlink r:id="rId9" w:history="1">
        <w:r w:rsidR="00A6464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A6464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A64645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A64645">
        <w:rPr>
          <w:color w:val="000000"/>
          <w:sz w:val="16"/>
          <w:lang w:val="ru-RU"/>
        </w:rPr>
        <w:t xml:space="preserve"> </w:t>
      </w:r>
      <w:r w:rsidR="000E52F3" w:rsidRPr="00A64645">
        <w:rPr>
          <w:color w:val="000000"/>
          <w:sz w:val="16"/>
          <w:lang w:val="ru-RU"/>
        </w:rPr>
        <w:t xml:space="preserve">   </w:t>
      </w:r>
    </w:p>
    <w:p w:rsidR="00DA21C7" w:rsidRDefault="00DA21C7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"Белгородский крахмал"; адрес: 309290 Белгородская область, г. Шебекино, ул. Матросова, 2А.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64645" w:rsidP="00A6464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407</w:t>
            </w:r>
            <w:r w:rsidR="00DA21C7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7</w:t>
            </w:r>
            <w:bookmarkStart w:id="0" w:name="_GoBack"/>
            <w:bookmarkEnd w:id="0"/>
            <w:r w:rsidR="00DA21C7">
              <w:rPr>
                <w:color w:val="000000"/>
                <w:sz w:val="16"/>
                <w:szCs w:val="18"/>
              </w:rPr>
              <w:t>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DA21C7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DA21C7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05.10.2016 12.48.00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6464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DA21C7">
              <w:rPr>
                <w:b/>
                <w:color w:val="000000"/>
                <w:sz w:val="16"/>
                <w:lang w:val="ru-RU"/>
              </w:rPr>
              <w:t xml:space="preserve"> "Белгородский крахмал"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DA21C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DA21C7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A64645" w:rsidRPr="001A6956">
          <w:rPr>
            <w:rStyle w:val="a4"/>
            <w:sz w:val="16"/>
            <w:lang w:val="ru-RU"/>
          </w:rPr>
          <w:t>www.zakupki.gov.ru</w:t>
        </w:r>
      </w:hyperlink>
      <w:r w:rsidR="00A64645">
        <w:rPr>
          <w:color w:val="000000"/>
          <w:sz w:val="16"/>
          <w:lang w:val="ru-RU"/>
        </w:rPr>
        <w:t xml:space="preserve">, </w:t>
      </w:r>
      <w:hyperlink r:id="rId11" w:history="1">
        <w:r w:rsidR="00A6464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A6464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3E" w:rsidRDefault="0089673E" w:rsidP="00230CEA">
      <w:r>
        <w:separator/>
      </w:r>
    </w:p>
  </w:endnote>
  <w:endnote w:type="continuationSeparator" w:id="0">
    <w:p w:rsidR="0089673E" w:rsidRDefault="0089673E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C7" w:rsidRDefault="00DA21C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DA21C7">
      <w:rPr>
        <w:b/>
        <w:smallCaps/>
        <w:color w:val="000000"/>
        <w:sz w:val="20"/>
        <w:lang w:val="ru-RU"/>
      </w:rPr>
      <w:t>3258</w:t>
    </w:r>
    <w:proofErr w:type="gramEnd"/>
    <w:r w:rsidR="00DA21C7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64645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64645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C7" w:rsidRDefault="00DA21C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3E" w:rsidRDefault="0089673E" w:rsidP="00230CEA">
      <w:r>
        <w:separator/>
      </w:r>
    </w:p>
  </w:footnote>
  <w:footnote w:type="continuationSeparator" w:id="0">
    <w:p w:rsidR="0089673E" w:rsidRDefault="0089673E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C7" w:rsidRDefault="00DA21C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C7" w:rsidRDefault="00DA21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9673E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4645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21C7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6067-64DC-46E3-97FD-8D4C45BB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2016-10-07T04:57:00Z</cp:lastPrinted>
  <dcterms:created xsi:type="dcterms:W3CDTF">2015-11-06T11:33:00Z</dcterms:created>
  <dcterms:modified xsi:type="dcterms:W3CDTF">2016-10-07T04:57:00Z</dcterms:modified>
</cp:coreProperties>
</file>