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A4F40">
        <w:rPr>
          <w:b/>
          <w:smallCaps/>
          <w:color w:val="000000"/>
          <w:sz w:val="20"/>
          <w:lang w:val="ru-RU"/>
        </w:rPr>
        <w:t>3287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A4F40">
        <w:rPr>
          <w:b/>
          <w:smallCaps/>
          <w:color w:val="000000"/>
          <w:sz w:val="20"/>
          <w:lang w:val="ru-RU"/>
        </w:rPr>
        <w:t>3287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A4F40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A4F4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A4F40">
        <w:rPr>
          <w:color w:val="000000"/>
          <w:sz w:val="16"/>
          <w:lang w:val="ru-RU"/>
        </w:rPr>
        <w:t>13.10.2016 14.00.00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A4F40">
        <w:rPr>
          <w:color w:val="000000"/>
          <w:sz w:val="16"/>
          <w:lang w:val="ru-RU"/>
        </w:rPr>
        <w:t>18.10.2016 14.00.00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D40B8F" w:rsidTr="00C832A7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832A7">
        <w:trPr>
          <w:trHeight w:val="53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A4F4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A4F4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</w:t>
            </w:r>
            <w:r w:rsidR="00C832A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A4F4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A4F40" w:rsidP="00AA4F4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15 818 181.18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832A7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A4F40" w:rsidRPr="00C832A7" w:rsidRDefault="00AA4F40" w:rsidP="00C832A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992"/>
              <w:gridCol w:w="993"/>
              <w:gridCol w:w="1275"/>
            </w:tblGrid>
            <w:tr w:rsidR="00C832A7" w:rsidRPr="00D40B8F" w:rsidTr="00DD21AC">
              <w:tc>
                <w:tcPr>
                  <w:tcW w:w="455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</w:t>
                  </w:r>
                </w:p>
                <w:p w:rsidR="00C832A7" w:rsidRPr="008F40C8" w:rsidRDefault="00C832A7" w:rsidP="00C832A7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(базис), %</w:t>
                  </w:r>
                </w:p>
              </w:tc>
            </w:tr>
            <w:tr w:rsidR="00C832A7" w:rsidRPr="00D40B8F" w:rsidTr="00DD21AC">
              <w:tc>
                <w:tcPr>
                  <w:tcW w:w="455" w:type="dxa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C832A7" w:rsidRPr="008F40C8" w:rsidRDefault="00C832A7" w:rsidP="00C832A7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38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992"/>
              <w:gridCol w:w="993"/>
              <w:gridCol w:w="1275"/>
            </w:tblGrid>
            <w:tr w:rsidR="00C832A7" w:rsidRPr="00D40B8F" w:rsidTr="00DD21AC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ind w:left="-79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</w:t>
                  </w:r>
                  <w:proofErr w:type="gramStart"/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C832A7" w:rsidRPr="008F40C8" w:rsidRDefault="00C832A7" w:rsidP="00C832A7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</w:t>
                  </w:r>
                  <w:proofErr w:type="gramStart"/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C832A7" w:rsidRPr="00D40B8F" w:rsidTr="00DD21AC">
              <w:tc>
                <w:tcPr>
                  <w:tcW w:w="426" w:type="dxa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C832A7" w:rsidRPr="008F40C8" w:rsidRDefault="00C832A7" w:rsidP="00C832A7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C832A7" w:rsidRPr="008F40C8" w:rsidRDefault="00C832A7" w:rsidP="00C832A7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C832A7" w:rsidRPr="008F40C8" w:rsidRDefault="00C832A7" w:rsidP="00C832A7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3,00</w:t>
                  </w:r>
                </w:p>
              </w:tc>
            </w:tr>
          </w:tbl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A4F40" w:rsidRPr="00C832A7" w:rsidRDefault="00AA4F4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AA4F40" w:rsidP="00C832A7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832A7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A4F4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20.11.2016г.</w:t>
            </w:r>
          </w:p>
        </w:tc>
      </w:tr>
      <w:tr w:rsidR="00A75AD1" w:rsidRPr="006F008D" w:rsidTr="00C832A7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F40" w:rsidRPr="00C832A7" w:rsidRDefault="00AA4F4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832A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AA4F40" w:rsidP="00C832A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832A7" w:rsidRPr="00DD7C33">
          <w:rPr>
            <w:rStyle w:val="a4"/>
            <w:sz w:val="16"/>
            <w:lang w:val="ru-RU"/>
          </w:rPr>
          <w:t>www.zakupki.gov.ru</w:t>
        </w:r>
      </w:hyperlink>
      <w:r w:rsidR="00C832A7">
        <w:rPr>
          <w:color w:val="000000"/>
          <w:sz w:val="16"/>
          <w:lang w:val="ru-RU"/>
        </w:rPr>
        <w:t xml:space="preserve">, </w:t>
      </w:r>
      <w:hyperlink r:id="rId9" w:history="1">
        <w:r w:rsidR="00C832A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832A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C832A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832A7">
        <w:rPr>
          <w:color w:val="000000"/>
          <w:sz w:val="16"/>
          <w:lang w:val="ru-RU"/>
        </w:rPr>
        <w:t xml:space="preserve"> </w:t>
      </w:r>
      <w:r w:rsidR="000E52F3" w:rsidRPr="00C832A7">
        <w:rPr>
          <w:color w:val="000000"/>
          <w:sz w:val="16"/>
          <w:lang w:val="ru-RU"/>
        </w:rPr>
        <w:t xml:space="preserve">   </w:t>
      </w:r>
    </w:p>
    <w:p w:rsidR="00AA4F40" w:rsidRDefault="00AA4F4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"Закрома Урала"; адрес: 620078 г.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Студенческая 64-55</w:t>
      </w:r>
    </w:p>
    <w:p w:rsidR="009F3F4A" w:rsidRDefault="00D40B8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</w:t>
      </w:r>
      <w:r>
        <w:rPr>
          <w:b/>
          <w:color w:val="000000"/>
          <w:sz w:val="16"/>
          <w:lang w:val="ru-RU"/>
        </w:rPr>
        <w:t>Общество с ограниченной ответственностью "Агрокомплекс "</w:t>
      </w:r>
      <w:proofErr w:type="spellStart"/>
      <w:r>
        <w:rPr>
          <w:b/>
          <w:color w:val="000000"/>
          <w:sz w:val="16"/>
          <w:lang w:val="ru-RU"/>
        </w:rPr>
        <w:t>Кургансемена</w:t>
      </w:r>
      <w:proofErr w:type="spellEnd"/>
      <w:r>
        <w:rPr>
          <w:b/>
          <w:color w:val="000000"/>
          <w:sz w:val="16"/>
          <w:lang w:val="ru-RU"/>
        </w:rPr>
        <w:t xml:space="preserve">"; адрес: 641325 Курганская область р-н </w:t>
      </w:r>
      <w:proofErr w:type="spellStart"/>
      <w:r>
        <w:rPr>
          <w:b/>
          <w:color w:val="000000"/>
          <w:sz w:val="16"/>
          <w:lang w:val="ru-RU"/>
        </w:rPr>
        <w:t>Кетовский</w:t>
      </w:r>
      <w:proofErr w:type="spellEnd"/>
      <w:r>
        <w:rPr>
          <w:b/>
          <w:color w:val="000000"/>
          <w:sz w:val="16"/>
          <w:lang w:val="ru-RU"/>
        </w:rPr>
        <w:t xml:space="preserve"> с Садовое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Садовая, 2</w:t>
      </w:r>
    </w:p>
    <w:p w:rsidR="00D40B8F" w:rsidRPr="000E52F3" w:rsidRDefault="00D40B8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bookmarkStart w:id="0" w:name="_GoBack"/>
      <w:bookmarkEnd w:id="0"/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440"/>
        <w:gridCol w:w="3260"/>
        <w:gridCol w:w="3394"/>
      </w:tblGrid>
      <w:tr w:rsidR="00D40B8F" w:rsidRPr="008F2AA6" w:rsidTr="00EB6194">
        <w:tc>
          <w:tcPr>
            <w:tcW w:w="532" w:type="dxa"/>
          </w:tcPr>
          <w:p w:rsidR="00D40B8F" w:rsidRPr="0088218D" w:rsidRDefault="00D40B8F" w:rsidP="00EB6194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88218D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440" w:type="dxa"/>
          </w:tcPr>
          <w:p w:rsidR="00D40B8F" w:rsidRPr="008F2AA6" w:rsidRDefault="00D40B8F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D40B8F" w:rsidRPr="008F2AA6" w:rsidRDefault="00D40B8F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394" w:type="dxa"/>
          </w:tcPr>
          <w:p w:rsidR="00D40B8F" w:rsidRPr="008F2AA6" w:rsidRDefault="00D40B8F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D40B8F" w:rsidRPr="009A4C21" w:rsidTr="00EB6194">
        <w:tc>
          <w:tcPr>
            <w:tcW w:w="532" w:type="dxa"/>
          </w:tcPr>
          <w:p w:rsidR="00D40B8F" w:rsidRPr="008F2AA6" w:rsidRDefault="00D40B8F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40" w:type="dxa"/>
          </w:tcPr>
          <w:p w:rsidR="00D40B8F" w:rsidRPr="0088218D" w:rsidRDefault="00D40B8F" w:rsidP="00EB6194">
            <w:pPr>
              <w:spacing w:before="40" w:after="59" w:line="183" w:lineRule="exact"/>
              <w:ind w:right="40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"Агрокомплекс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Кургансемена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3260" w:type="dxa"/>
          </w:tcPr>
          <w:p w:rsidR="00D40B8F" w:rsidRPr="008F2AA6" w:rsidRDefault="00D40B8F" w:rsidP="00EB6194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641325 Курганская область р-н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Кетовский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с Садовое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ул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Садовая, 2</w:t>
            </w:r>
          </w:p>
        </w:tc>
        <w:tc>
          <w:tcPr>
            <w:tcW w:w="3394" w:type="dxa"/>
          </w:tcPr>
          <w:p w:rsidR="00D40B8F" w:rsidRPr="008F2AA6" w:rsidRDefault="00D40B8F" w:rsidP="00EB6194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Пп.4 п. 3 ст. 29 Положения о закупках ОАО </w:t>
            </w:r>
            <w:r w:rsidRPr="0088218D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lastRenderedPageBreak/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C832A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A4F40" w:rsidP="00AA4F4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15 458 000.00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A4F40" w:rsidP="00C832A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18.10.2016 1</w:t>
            </w:r>
            <w:r w:rsidR="00C832A7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.32.</w:t>
            </w:r>
            <w:r w:rsidR="00C832A7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832A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A4F40">
              <w:rPr>
                <w:b/>
                <w:color w:val="000000"/>
                <w:sz w:val="16"/>
                <w:lang w:val="ru-RU"/>
              </w:rPr>
              <w:t xml:space="preserve"> "Закрома Урала"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A4F4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C832A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A4F4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832A7" w:rsidRPr="00DD7C33">
          <w:rPr>
            <w:rStyle w:val="a4"/>
            <w:sz w:val="16"/>
            <w:lang w:val="ru-RU"/>
          </w:rPr>
          <w:t>www.zakupki.gov.ru</w:t>
        </w:r>
      </w:hyperlink>
      <w:r w:rsidR="00C832A7">
        <w:rPr>
          <w:color w:val="000000"/>
          <w:sz w:val="16"/>
          <w:lang w:val="ru-RU"/>
        </w:rPr>
        <w:t xml:space="preserve">, </w:t>
      </w:r>
      <w:hyperlink r:id="rId11" w:history="1">
        <w:r w:rsidR="00C832A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832A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53" w:rsidRDefault="00E35E53" w:rsidP="00230CEA">
      <w:r>
        <w:separator/>
      </w:r>
    </w:p>
  </w:endnote>
  <w:endnote w:type="continuationSeparator" w:id="0">
    <w:p w:rsidR="00E35E53" w:rsidRDefault="00E35E5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40" w:rsidRDefault="00AA4F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A4F40">
      <w:rPr>
        <w:b/>
        <w:smallCaps/>
        <w:color w:val="000000"/>
        <w:sz w:val="20"/>
        <w:lang w:val="ru-RU"/>
      </w:rPr>
      <w:t>3287</w:t>
    </w:r>
    <w:proofErr w:type="gramEnd"/>
    <w:r w:rsidR="00AA4F40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40B8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40B8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40" w:rsidRDefault="00AA4F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53" w:rsidRDefault="00E35E53" w:rsidP="00230CEA">
      <w:r>
        <w:separator/>
      </w:r>
    </w:p>
  </w:footnote>
  <w:footnote w:type="continuationSeparator" w:id="0">
    <w:p w:rsidR="00E35E53" w:rsidRDefault="00E35E5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40" w:rsidRDefault="00AA4F4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40" w:rsidRDefault="00AA4F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4F40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32A7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04B7"/>
    <w:rsid w:val="00D40B8F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35E53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EC83-8B57-4C1E-B503-0B8D83D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2016-10-20T06:43:00Z</cp:lastPrinted>
  <dcterms:created xsi:type="dcterms:W3CDTF">2015-11-06T11:33:00Z</dcterms:created>
  <dcterms:modified xsi:type="dcterms:W3CDTF">2016-10-20T06:43:00Z</dcterms:modified>
</cp:coreProperties>
</file>